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C23F4" w14:textId="0CBE6912" w:rsidR="00931DD1" w:rsidRPr="00F52A18" w:rsidRDefault="0034252A" w:rsidP="0034252A">
      <w:pPr>
        <w:jc w:val="center"/>
        <w:rPr>
          <w:rFonts w:ascii="Poppins" w:hAnsi="Poppins" w:cs="Poppins"/>
          <w:color w:val="EC790C"/>
        </w:rPr>
      </w:pPr>
      <w:r>
        <w:rPr>
          <w:rFonts w:ascii="Poppins" w:hAnsi="Poppins" w:cs="Poppins"/>
          <w:noProof/>
          <w:color w:val="EC790C"/>
        </w:rPr>
        <w:drawing>
          <wp:inline distT="0" distB="0" distL="0" distR="0" wp14:anchorId="7FD18ED5" wp14:editId="2D0C5495">
            <wp:extent cx="3190240" cy="3987800"/>
            <wp:effectExtent l="0" t="0" r="0" b="0"/>
            <wp:docPr id="756511669"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511669" name="Imagen 1" descr="Imagen que contiene Texto&#10;&#10;El contenido generado por IA puede ser incorrec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94316" cy="3992895"/>
                    </a:xfrm>
                    <a:prstGeom prst="rect">
                      <a:avLst/>
                    </a:prstGeom>
                  </pic:spPr>
                </pic:pic>
              </a:graphicData>
            </a:graphic>
          </wp:inline>
        </w:drawing>
      </w:r>
    </w:p>
    <w:p w14:paraId="388D82FE" w14:textId="682B079E" w:rsidR="00403CA2" w:rsidRPr="00F52A18" w:rsidRDefault="00F52A18" w:rsidP="00F52A18">
      <w:pPr>
        <w:jc w:val="center"/>
        <w:rPr>
          <w:rFonts w:ascii="Poppins" w:hAnsi="Poppins" w:cs="Poppins"/>
          <w:b/>
          <w:bCs/>
          <w:color w:val="EC790C"/>
        </w:rPr>
      </w:pPr>
      <w:r w:rsidRPr="00F52A18">
        <w:rPr>
          <w:rFonts w:ascii="Poppins" w:hAnsi="Poppins" w:cs="Poppins"/>
          <w:b/>
          <w:bCs/>
          <w:color w:val="EC790C"/>
        </w:rPr>
        <w:t>Proyecto Hombre reivindica en el 8M que “Visibilizar también es acompañar” a las mujeres con problemas de adicción</w:t>
      </w:r>
    </w:p>
    <w:p w14:paraId="11199799" w14:textId="20F96474" w:rsidR="00F52A18" w:rsidRPr="00442CFE" w:rsidRDefault="00846B14" w:rsidP="00442CFE">
      <w:pPr>
        <w:pStyle w:val="Prrafodelista"/>
        <w:numPr>
          <w:ilvl w:val="0"/>
          <w:numId w:val="3"/>
        </w:numPr>
        <w:jc w:val="both"/>
        <w:rPr>
          <w:rFonts w:ascii="Poppins" w:hAnsi="Poppins" w:cs="Poppins"/>
          <w:sz w:val="20"/>
          <w:szCs w:val="20"/>
        </w:rPr>
      </w:pPr>
      <w:r>
        <w:rPr>
          <w:rFonts w:ascii="Poppins" w:hAnsi="Poppins" w:cs="Poppins"/>
          <w:b/>
          <w:bCs/>
          <w:sz w:val="20"/>
          <w:szCs w:val="20"/>
        </w:rPr>
        <w:t>Durante 2024 e</w:t>
      </w:r>
      <w:r w:rsidR="00F52A18" w:rsidRPr="00442CFE">
        <w:rPr>
          <w:rFonts w:ascii="Poppins" w:hAnsi="Poppins" w:cs="Poppins"/>
          <w:b/>
          <w:bCs/>
          <w:sz w:val="20"/>
          <w:szCs w:val="20"/>
        </w:rPr>
        <w:t>l 19,1% de las personas atendidas en Proyecto Hombre han sido mujeres.</w:t>
      </w:r>
    </w:p>
    <w:p w14:paraId="3254A49F" w14:textId="58631831" w:rsidR="00F92BDA" w:rsidRPr="00774AA0" w:rsidRDefault="00F52A18" w:rsidP="00F52A18">
      <w:pPr>
        <w:pStyle w:val="Prrafodelista"/>
        <w:numPr>
          <w:ilvl w:val="0"/>
          <w:numId w:val="3"/>
        </w:numPr>
        <w:jc w:val="both"/>
        <w:rPr>
          <w:rFonts w:ascii="Poppins" w:hAnsi="Poppins" w:cs="Poppins"/>
          <w:b/>
          <w:bCs/>
          <w:sz w:val="18"/>
          <w:szCs w:val="18"/>
        </w:rPr>
      </w:pPr>
      <w:r w:rsidRPr="00A15A2D">
        <w:rPr>
          <w:rFonts w:ascii="Poppins" w:hAnsi="Poppins" w:cs="Poppins"/>
          <w:b/>
          <w:bCs/>
          <w:sz w:val="20"/>
          <w:szCs w:val="20"/>
        </w:rPr>
        <w:t>Visibilizar las barreras a las que se enfrentan las mujeres con problemas de adicción es una cuestión de sensibilización: es una forma concreta de acompañar</w:t>
      </w:r>
      <w:r w:rsidR="00846B14" w:rsidRPr="00A15A2D">
        <w:rPr>
          <w:rFonts w:ascii="Poppins" w:hAnsi="Poppins" w:cs="Poppins"/>
          <w:b/>
          <w:bCs/>
          <w:sz w:val="20"/>
          <w:szCs w:val="20"/>
        </w:rPr>
        <w:t>, e</w:t>
      </w:r>
      <w:r w:rsidRPr="00A15A2D">
        <w:rPr>
          <w:rFonts w:ascii="Poppins" w:hAnsi="Poppins" w:cs="Poppins"/>
          <w:b/>
          <w:bCs/>
          <w:sz w:val="20"/>
          <w:szCs w:val="20"/>
        </w:rPr>
        <w:t>s asumir el compromiso de reducir</w:t>
      </w:r>
      <w:r w:rsidR="00A15A2D" w:rsidRPr="00A15A2D">
        <w:rPr>
          <w:rFonts w:ascii="Poppins" w:hAnsi="Poppins" w:cs="Poppins"/>
          <w:b/>
          <w:bCs/>
          <w:sz w:val="20"/>
          <w:szCs w:val="20"/>
        </w:rPr>
        <w:t xml:space="preserve"> estas barreras</w:t>
      </w:r>
      <w:r w:rsidR="00846B14" w:rsidRPr="00A15A2D">
        <w:rPr>
          <w:rFonts w:ascii="Poppins" w:hAnsi="Poppins" w:cs="Poppins"/>
          <w:b/>
          <w:bCs/>
          <w:sz w:val="20"/>
          <w:szCs w:val="20"/>
        </w:rPr>
        <w:t xml:space="preserve">, </w:t>
      </w:r>
      <w:r w:rsidRPr="00A15A2D">
        <w:rPr>
          <w:rFonts w:ascii="Poppins" w:hAnsi="Poppins" w:cs="Poppins"/>
          <w:b/>
          <w:bCs/>
          <w:sz w:val="20"/>
          <w:szCs w:val="20"/>
        </w:rPr>
        <w:t>y garantizar que ninguna mujer quede fuera del tratamiento.</w:t>
      </w:r>
    </w:p>
    <w:p w14:paraId="768399E2" w14:textId="77777777" w:rsidR="00774AA0" w:rsidRPr="00A15A2D" w:rsidRDefault="00774AA0" w:rsidP="00774AA0">
      <w:pPr>
        <w:pStyle w:val="Prrafodelista"/>
        <w:jc w:val="both"/>
        <w:rPr>
          <w:rFonts w:ascii="Poppins" w:hAnsi="Poppins" w:cs="Poppins"/>
          <w:b/>
          <w:bCs/>
          <w:sz w:val="18"/>
          <w:szCs w:val="18"/>
        </w:rPr>
      </w:pPr>
    </w:p>
    <w:p w14:paraId="1DD96FD9" w14:textId="61948FC7" w:rsidR="00F52A18" w:rsidRPr="00F52A18" w:rsidRDefault="00F52A18" w:rsidP="00F52A18">
      <w:pPr>
        <w:jc w:val="both"/>
        <w:rPr>
          <w:rFonts w:ascii="Poppins" w:hAnsi="Poppins" w:cs="Poppins"/>
          <w:sz w:val="18"/>
          <w:szCs w:val="18"/>
        </w:rPr>
      </w:pPr>
      <w:r w:rsidRPr="00F52A18">
        <w:rPr>
          <w:rFonts w:ascii="Poppins" w:hAnsi="Poppins" w:cs="Poppins"/>
          <w:b/>
          <w:bCs/>
          <w:sz w:val="18"/>
          <w:szCs w:val="18"/>
        </w:rPr>
        <w:t>Madrid, 8 de marzo de 2026.-</w:t>
      </w:r>
      <w:r w:rsidRPr="00F52A18">
        <w:rPr>
          <w:rFonts w:ascii="Poppins" w:hAnsi="Poppins" w:cs="Poppins"/>
          <w:sz w:val="18"/>
          <w:szCs w:val="18"/>
        </w:rPr>
        <w:t xml:space="preserve"> Proyecto Hombre lanza con motivo del Día Internacional de la Mujer su campaña “Visibilizar también es acompañar”, una iniciativa que pone el foco en las barreras específicas que enfrentan las mujeres con problemas de adicción y en la necesidad de incorporar la perspectiva de género de forma transversal en la intervención.</w:t>
      </w:r>
    </w:p>
    <w:p w14:paraId="39A49234" w14:textId="77777777" w:rsidR="00F52A18" w:rsidRPr="00F52A18" w:rsidRDefault="00F52A18" w:rsidP="00F52A18">
      <w:pPr>
        <w:jc w:val="both"/>
        <w:rPr>
          <w:rFonts w:ascii="Poppins" w:hAnsi="Poppins" w:cs="Poppins"/>
          <w:sz w:val="18"/>
          <w:szCs w:val="18"/>
        </w:rPr>
      </w:pPr>
      <w:r w:rsidRPr="00F52A18">
        <w:rPr>
          <w:rFonts w:ascii="Poppins" w:hAnsi="Poppins" w:cs="Poppins"/>
          <w:sz w:val="18"/>
          <w:szCs w:val="18"/>
        </w:rPr>
        <w:t>En 2024, el 19,1% de las personas atendidas en Proyecto Hombre han sido mujeres, frente al 80,9% de hombres. Esta diferencia no implica necesariamente un menor impacto de las adicciones en mujeres, sino que evidencia que ellas siguen encontrando más obstáculos para pedir ayuda y acceder a tratamiento.</w:t>
      </w:r>
    </w:p>
    <w:p w14:paraId="2F492229" w14:textId="77777777" w:rsidR="008B12F9" w:rsidRDefault="008B12F9" w:rsidP="00F52A18">
      <w:pPr>
        <w:jc w:val="both"/>
        <w:rPr>
          <w:rFonts w:ascii="Poppins" w:hAnsi="Poppins" w:cs="Poppins"/>
          <w:sz w:val="18"/>
          <w:szCs w:val="18"/>
        </w:rPr>
      </w:pPr>
    </w:p>
    <w:p w14:paraId="3D352DE5" w14:textId="77777777" w:rsidR="008B12F9" w:rsidRDefault="008B12F9" w:rsidP="00F52A18">
      <w:pPr>
        <w:jc w:val="both"/>
        <w:rPr>
          <w:rFonts w:ascii="Poppins" w:hAnsi="Poppins" w:cs="Poppins"/>
          <w:sz w:val="18"/>
          <w:szCs w:val="18"/>
        </w:rPr>
      </w:pPr>
    </w:p>
    <w:p w14:paraId="399837A9" w14:textId="77777777" w:rsidR="0034252A" w:rsidRDefault="0034252A" w:rsidP="00F52A18">
      <w:pPr>
        <w:jc w:val="both"/>
        <w:rPr>
          <w:rFonts w:ascii="Poppins" w:hAnsi="Poppins" w:cs="Poppins"/>
          <w:sz w:val="18"/>
          <w:szCs w:val="18"/>
        </w:rPr>
      </w:pPr>
    </w:p>
    <w:p w14:paraId="79899B78" w14:textId="0638516B" w:rsidR="00F52A18" w:rsidRPr="00F52A18" w:rsidRDefault="00F52A18" w:rsidP="00F52A18">
      <w:pPr>
        <w:jc w:val="both"/>
        <w:rPr>
          <w:rFonts w:ascii="Poppins" w:hAnsi="Poppins" w:cs="Poppins"/>
          <w:sz w:val="18"/>
          <w:szCs w:val="18"/>
        </w:rPr>
      </w:pPr>
      <w:r w:rsidRPr="00F52A18">
        <w:rPr>
          <w:rFonts w:ascii="Poppins" w:hAnsi="Poppins" w:cs="Poppins"/>
          <w:sz w:val="18"/>
          <w:szCs w:val="18"/>
        </w:rPr>
        <w:t>Desde 2013, el número de mujeres atendidas ha ido creciendo de manera progresiva. Un avance que responde, en gran medida, a una mayor sensibilización social y a la adaptación de los recursos a sus necesidades específicas.</w:t>
      </w:r>
    </w:p>
    <w:p w14:paraId="2F1E4ED8" w14:textId="77777777" w:rsidR="00F52A18" w:rsidRPr="00F52A18" w:rsidRDefault="00F52A18" w:rsidP="00F52A18">
      <w:pPr>
        <w:jc w:val="both"/>
        <w:rPr>
          <w:rFonts w:ascii="Poppins" w:hAnsi="Poppins" w:cs="Poppins"/>
          <w:b/>
          <w:bCs/>
          <w:color w:val="007B87"/>
          <w:sz w:val="18"/>
          <w:szCs w:val="18"/>
        </w:rPr>
      </w:pPr>
      <w:r w:rsidRPr="00F52A18">
        <w:rPr>
          <w:rFonts w:ascii="Poppins" w:hAnsi="Poppins" w:cs="Poppins"/>
          <w:b/>
          <w:bCs/>
          <w:color w:val="007B87"/>
          <w:sz w:val="18"/>
          <w:szCs w:val="18"/>
        </w:rPr>
        <w:t>Doble estigma y mayores barreras</w:t>
      </w:r>
    </w:p>
    <w:p w14:paraId="4EB24743" w14:textId="2EEB10AB" w:rsidR="007213D7" w:rsidRPr="007213D7" w:rsidRDefault="007213D7" w:rsidP="00F52A18">
      <w:pPr>
        <w:jc w:val="both"/>
        <w:rPr>
          <w:rFonts w:ascii="Poppins" w:hAnsi="Poppins" w:cs="Poppins"/>
          <w:sz w:val="18"/>
          <w:szCs w:val="18"/>
        </w:rPr>
      </w:pPr>
      <w:r w:rsidRPr="007213D7">
        <w:rPr>
          <w:rFonts w:ascii="Poppins" w:hAnsi="Poppins" w:cs="Poppins"/>
          <w:sz w:val="18"/>
          <w:szCs w:val="18"/>
        </w:rPr>
        <w:t xml:space="preserve">La presencia de las mujeres en los programas ha oscilado: del </w:t>
      </w:r>
      <w:r w:rsidRPr="007213D7">
        <w:rPr>
          <w:rFonts w:ascii="Poppins" w:hAnsi="Poppins" w:cs="Poppins"/>
          <w:b/>
          <w:bCs/>
          <w:sz w:val="18"/>
          <w:szCs w:val="18"/>
        </w:rPr>
        <w:t>16,5% en 2020, subió al 18,1%</w:t>
      </w:r>
      <w:r w:rsidRPr="007213D7">
        <w:rPr>
          <w:rFonts w:ascii="Poppins" w:hAnsi="Poppins" w:cs="Poppins"/>
          <w:sz w:val="18"/>
          <w:szCs w:val="18"/>
        </w:rPr>
        <w:t xml:space="preserve"> en 2021, </w:t>
      </w:r>
      <w:r w:rsidR="00F92BDA" w:rsidRPr="007213D7">
        <w:rPr>
          <w:rFonts w:ascii="Poppins" w:hAnsi="Poppins" w:cs="Poppins"/>
          <w:sz w:val="18"/>
          <w:szCs w:val="18"/>
        </w:rPr>
        <w:t>alcanzado</w:t>
      </w:r>
      <w:r w:rsidRPr="007213D7">
        <w:rPr>
          <w:rFonts w:ascii="Poppins" w:hAnsi="Poppins" w:cs="Poppins"/>
          <w:sz w:val="18"/>
          <w:szCs w:val="18"/>
        </w:rPr>
        <w:t xml:space="preserve"> un </w:t>
      </w:r>
      <w:r w:rsidRPr="00F92BDA">
        <w:rPr>
          <w:rFonts w:ascii="Poppins" w:hAnsi="Poppins" w:cs="Poppins"/>
          <w:b/>
          <w:bCs/>
          <w:sz w:val="18"/>
          <w:szCs w:val="18"/>
        </w:rPr>
        <w:t>19,1%</w:t>
      </w:r>
      <w:r w:rsidRPr="007213D7">
        <w:rPr>
          <w:rFonts w:ascii="Poppins" w:hAnsi="Poppins" w:cs="Poppins"/>
          <w:sz w:val="18"/>
          <w:szCs w:val="18"/>
        </w:rPr>
        <w:t xml:space="preserve"> en </w:t>
      </w:r>
      <w:r w:rsidR="00F92BDA">
        <w:rPr>
          <w:rFonts w:ascii="Poppins" w:hAnsi="Poppins" w:cs="Poppins"/>
          <w:sz w:val="18"/>
          <w:szCs w:val="18"/>
        </w:rPr>
        <w:t>2024</w:t>
      </w:r>
      <w:r w:rsidRPr="007213D7">
        <w:rPr>
          <w:rFonts w:ascii="Poppins" w:hAnsi="Poppins" w:cs="Poppins"/>
          <w:sz w:val="18"/>
          <w:szCs w:val="18"/>
        </w:rPr>
        <w:t>. Ellas enfrentan mayores dificultades</w:t>
      </w:r>
      <w:bookmarkStart w:id="0" w:name="_Hlk201040621"/>
      <w:r w:rsidRPr="007213D7">
        <w:rPr>
          <w:rFonts w:ascii="Poppins" w:hAnsi="Poppins" w:cs="Poppins"/>
          <w:sz w:val="18"/>
          <w:szCs w:val="18"/>
        </w:rPr>
        <w:t xml:space="preserve">: </w:t>
      </w:r>
      <w:r w:rsidRPr="007213D7">
        <w:rPr>
          <w:rFonts w:ascii="Poppins" w:hAnsi="Poppins" w:cs="Poppins"/>
          <w:b/>
          <w:bCs/>
          <w:sz w:val="18"/>
          <w:szCs w:val="18"/>
        </w:rPr>
        <w:t xml:space="preserve">tardan </w:t>
      </w:r>
      <w:r w:rsidR="00403CA2">
        <w:rPr>
          <w:rFonts w:ascii="Poppins" w:hAnsi="Poppins" w:cs="Poppins"/>
          <w:b/>
          <w:bCs/>
          <w:sz w:val="18"/>
          <w:szCs w:val="18"/>
        </w:rPr>
        <w:t xml:space="preserve">más tiempo </w:t>
      </w:r>
      <w:r w:rsidRPr="007213D7">
        <w:rPr>
          <w:rFonts w:ascii="Poppins" w:hAnsi="Poppins" w:cs="Poppins"/>
          <w:b/>
          <w:bCs/>
          <w:sz w:val="18"/>
          <w:szCs w:val="18"/>
        </w:rPr>
        <w:t>en pedir ayuda</w:t>
      </w:r>
      <w:bookmarkEnd w:id="0"/>
      <w:r w:rsidR="00403CA2">
        <w:rPr>
          <w:rFonts w:ascii="Poppins" w:hAnsi="Poppins" w:cs="Poppins"/>
          <w:b/>
          <w:bCs/>
          <w:sz w:val="18"/>
          <w:szCs w:val="18"/>
        </w:rPr>
        <w:t xml:space="preserve"> que los hombres</w:t>
      </w:r>
      <w:r w:rsidRPr="007213D7">
        <w:rPr>
          <w:rFonts w:ascii="Poppins" w:hAnsi="Poppins" w:cs="Poppins"/>
          <w:sz w:val="18"/>
          <w:szCs w:val="18"/>
        </w:rPr>
        <w:t>.</w:t>
      </w:r>
    </w:p>
    <w:p w14:paraId="38C37EE0" w14:textId="5462004C" w:rsidR="00F52A18" w:rsidRPr="00F52A18" w:rsidRDefault="00F52A18" w:rsidP="00F52A18">
      <w:pPr>
        <w:jc w:val="both"/>
        <w:rPr>
          <w:rFonts w:ascii="Poppins" w:hAnsi="Poppins" w:cs="Poppins"/>
          <w:sz w:val="18"/>
          <w:szCs w:val="18"/>
        </w:rPr>
      </w:pPr>
      <w:r w:rsidRPr="00F52A18">
        <w:rPr>
          <w:rFonts w:ascii="Poppins" w:hAnsi="Poppins" w:cs="Poppins"/>
          <w:sz w:val="18"/>
          <w:szCs w:val="18"/>
        </w:rPr>
        <w:t>Las mujeres con problemas de adicción suelen enfrentarse a un doble estigma: el asociado al consumo y el vinculado a los mandatos de género. Con frecuencia son señaladas como “malas madres”, “malas hijas” o “malas parejas”, lo que incrementa el sentimiento de culpa y retrasa la búsqueda de apoyo.</w:t>
      </w:r>
    </w:p>
    <w:p w14:paraId="3EE71903" w14:textId="7C9B9567" w:rsidR="00F52A18" w:rsidRPr="00F52A18" w:rsidRDefault="00F52A18" w:rsidP="00F52A18">
      <w:pPr>
        <w:jc w:val="both"/>
        <w:rPr>
          <w:rFonts w:ascii="Poppins" w:hAnsi="Poppins" w:cs="Poppins"/>
          <w:sz w:val="18"/>
          <w:szCs w:val="18"/>
        </w:rPr>
      </w:pPr>
      <w:r w:rsidRPr="00F52A18">
        <w:rPr>
          <w:rFonts w:ascii="Poppins" w:hAnsi="Poppins" w:cs="Poppins"/>
          <w:sz w:val="18"/>
          <w:szCs w:val="18"/>
        </w:rPr>
        <w:t>Además, muchas de ellas presentan mayor exposición a situaciones de violencia, cargas de cuidados no compartidas</w:t>
      </w:r>
      <w:r w:rsidR="00403CA2">
        <w:rPr>
          <w:rFonts w:ascii="Poppins" w:hAnsi="Poppins" w:cs="Poppins"/>
          <w:sz w:val="18"/>
          <w:szCs w:val="18"/>
        </w:rPr>
        <w:t>,</w:t>
      </w:r>
      <w:r w:rsidRPr="00F52A18">
        <w:rPr>
          <w:rFonts w:ascii="Poppins" w:hAnsi="Poppins" w:cs="Poppins"/>
          <w:sz w:val="18"/>
          <w:szCs w:val="18"/>
        </w:rPr>
        <w:t xml:space="preserve"> miedo a perder la custodia de sus hijos e hijas. Estas circunstancias condicionan tanto el acceso como la permanencia en tratamiento.</w:t>
      </w:r>
    </w:p>
    <w:p w14:paraId="36742EE1" w14:textId="753DCDE6" w:rsidR="007213D7" w:rsidRDefault="00F52A18" w:rsidP="008B12F9">
      <w:pPr>
        <w:jc w:val="both"/>
        <w:rPr>
          <w:rFonts w:ascii="Poppins" w:hAnsi="Poppins" w:cs="Poppins"/>
          <w:sz w:val="18"/>
          <w:szCs w:val="18"/>
        </w:rPr>
      </w:pPr>
      <w:r w:rsidRPr="00F52A18">
        <w:rPr>
          <w:rFonts w:ascii="Poppins" w:hAnsi="Poppins" w:cs="Poppins"/>
          <w:sz w:val="18"/>
          <w:szCs w:val="18"/>
        </w:rPr>
        <w:t xml:space="preserve">Por eso, en Proyecto Hombre entendemos que tratar igual no siempre es tratar </w:t>
      </w:r>
      <w:r w:rsidR="00403CA2">
        <w:rPr>
          <w:rFonts w:ascii="Poppins" w:hAnsi="Poppins" w:cs="Poppins"/>
          <w:sz w:val="18"/>
          <w:szCs w:val="18"/>
        </w:rPr>
        <w:t>de forma adecuada</w:t>
      </w:r>
      <w:r w:rsidRPr="00F52A18">
        <w:rPr>
          <w:rFonts w:ascii="Poppins" w:hAnsi="Poppins" w:cs="Poppins"/>
          <w:sz w:val="18"/>
          <w:szCs w:val="18"/>
        </w:rPr>
        <w:t>. Reconocer las desigualdades estructurales es el primer paso para garantizar una atención verdaderamente equitativa.</w:t>
      </w:r>
    </w:p>
    <w:p w14:paraId="10E13160" w14:textId="42AE5EB5" w:rsidR="00F52A18" w:rsidRPr="00F52A18" w:rsidRDefault="00F52A18" w:rsidP="00F52A18">
      <w:pPr>
        <w:rPr>
          <w:rFonts w:ascii="Poppins" w:hAnsi="Poppins" w:cs="Poppins"/>
          <w:b/>
          <w:bCs/>
          <w:color w:val="007B87"/>
          <w:sz w:val="18"/>
          <w:szCs w:val="18"/>
        </w:rPr>
      </w:pPr>
      <w:r w:rsidRPr="00F52A18">
        <w:rPr>
          <w:rFonts w:ascii="Poppins" w:hAnsi="Poppins" w:cs="Poppins"/>
          <w:b/>
          <w:bCs/>
          <w:color w:val="007B87"/>
          <w:sz w:val="18"/>
          <w:szCs w:val="18"/>
        </w:rPr>
        <w:t>Perspectiva de género como decisión estratégica</w:t>
      </w:r>
    </w:p>
    <w:p w14:paraId="2A2FF82F" w14:textId="77777777" w:rsidR="00F52A18" w:rsidRPr="00F52A18" w:rsidRDefault="00F52A18" w:rsidP="00442CFE">
      <w:pPr>
        <w:jc w:val="both"/>
        <w:rPr>
          <w:rFonts w:ascii="Poppins" w:hAnsi="Poppins" w:cs="Poppins"/>
          <w:sz w:val="18"/>
          <w:szCs w:val="18"/>
        </w:rPr>
      </w:pPr>
      <w:r w:rsidRPr="00F52A18">
        <w:rPr>
          <w:rFonts w:ascii="Poppins" w:hAnsi="Poppins" w:cs="Poppins"/>
          <w:sz w:val="18"/>
          <w:szCs w:val="18"/>
        </w:rPr>
        <w:t>La incorporación de la perspectiva de género en Proyecto Hombre no es puntual ni simbólica: es una decisión estratégica que influye en el diseño, desarrollo y evaluación de los programas.</w:t>
      </w:r>
    </w:p>
    <w:p w14:paraId="72E47E24" w14:textId="77777777" w:rsidR="00F52A18" w:rsidRPr="00F52A18" w:rsidRDefault="00F52A18" w:rsidP="00442CFE">
      <w:pPr>
        <w:jc w:val="both"/>
        <w:rPr>
          <w:rFonts w:ascii="Poppins" w:hAnsi="Poppins" w:cs="Poppins"/>
          <w:color w:val="212121"/>
          <w:sz w:val="18"/>
          <w:szCs w:val="18"/>
        </w:rPr>
      </w:pPr>
      <w:r w:rsidRPr="00F52A18">
        <w:rPr>
          <w:rFonts w:ascii="Poppins" w:hAnsi="Poppins" w:cs="Poppins"/>
          <w:color w:val="212121"/>
          <w:sz w:val="18"/>
          <w:szCs w:val="18"/>
        </w:rPr>
        <w:t>Esta mirada se traduce en:</w:t>
      </w:r>
    </w:p>
    <w:p w14:paraId="42C814BA" w14:textId="77777777" w:rsidR="00F52A18" w:rsidRPr="00F52A18" w:rsidRDefault="00F52A18" w:rsidP="00442CFE">
      <w:pPr>
        <w:numPr>
          <w:ilvl w:val="0"/>
          <w:numId w:val="1"/>
        </w:numPr>
        <w:jc w:val="both"/>
        <w:rPr>
          <w:rFonts w:ascii="Poppins" w:hAnsi="Poppins" w:cs="Poppins"/>
          <w:sz w:val="18"/>
          <w:szCs w:val="18"/>
        </w:rPr>
      </w:pPr>
      <w:r w:rsidRPr="00F52A18">
        <w:rPr>
          <w:rFonts w:ascii="Poppins" w:hAnsi="Poppins" w:cs="Poppins"/>
          <w:sz w:val="18"/>
          <w:szCs w:val="18"/>
        </w:rPr>
        <w:t>Programas específicos para mujeres.</w:t>
      </w:r>
    </w:p>
    <w:p w14:paraId="10D001E9" w14:textId="77777777" w:rsidR="00F52A18" w:rsidRPr="00F52A18" w:rsidRDefault="00F52A18" w:rsidP="00442CFE">
      <w:pPr>
        <w:numPr>
          <w:ilvl w:val="0"/>
          <w:numId w:val="1"/>
        </w:numPr>
        <w:jc w:val="both"/>
        <w:rPr>
          <w:rFonts w:ascii="Poppins" w:hAnsi="Poppins" w:cs="Poppins"/>
          <w:sz w:val="18"/>
          <w:szCs w:val="18"/>
        </w:rPr>
      </w:pPr>
      <w:r w:rsidRPr="00F52A18">
        <w:rPr>
          <w:rFonts w:ascii="Poppins" w:hAnsi="Poppins" w:cs="Poppins"/>
          <w:sz w:val="18"/>
          <w:szCs w:val="18"/>
        </w:rPr>
        <w:t>Adaptación de los itinerarios terapéuticos a realidades diversas.</w:t>
      </w:r>
    </w:p>
    <w:p w14:paraId="16E5EF0F" w14:textId="77777777" w:rsidR="00F52A18" w:rsidRPr="00F52A18" w:rsidRDefault="00F52A18" w:rsidP="00442CFE">
      <w:pPr>
        <w:numPr>
          <w:ilvl w:val="0"/>
          <w:numId w:val="1"/>
        </w:numPr>
        <w:jc w:val="both"/>
        <w:rPr>
          <w:rFonts w:ascii="Poppins" w:hAnsi="Poppins" w:cs="Poppins"/>
          <w:sz w:val="18"/>
          <w:szCs w:val="18"/>
        </w:rPr>
      </w:pPr>
      <w:r w:rsidRPr="00F52A18">
        <w:rPr>
          <w:rFonts w:ascii="Poppins" w:hAnsi="Poppins" w:cs="Poppins"/>
          <w:sz w:val="18"/>
          <w:szCs w:val="18"/>
        </w:rPr>
        <w:t>Intervenciones que abordan la violencia, el estigma y las cargas de cuidado.</w:t>
      </w:r>
    </w:p>
    <w:p w14:paraId="0E10DAC2" w14:textId="77777777" w:rsidR="00F52A18" w:rsidRDefault="00F52A18" w:rsidP="00442CFE">
      <w:pPr>
        <w:numPr>
          <w:ilvl w:val="0"/>
          <w:numId w:val="1"/>
        </w:numPr>
        <w:jc w:val="both"/>
        <w:rPr>
          <w:rFonts w:ascii="Poppins" w:hAnsi="Poppins" w:cs="Poppins"/>
          <w:sz w:val="18"/>
          <w:szCs w:val="18"/>
        </w:rPr>
      </w:pPr>
      <w:r w:rsidRPr="00F52A18">
        <w:rPr>
          <w:rFonts w:ascii="Poppins" w:hAnsi="Poppins" w:cs="Poppins"/>
          <w:sz w:val="18"/>
          <w:szCs w:val="18"/>
        </w:rPr>
        <w:t>Espacios seguros donde reconstruir el proyecto de vida sin juicios.</w:t>
      </w:r>
    </w:p>
    <w:p w14:paraId="06EEB586" w14:textId="2C7056C7" w:rsidR="00403CA2" w:rsidRPr="00F52A18" w:rsidRDefault="00403CA2" w:rsidP="00442CFE">
      <w:pPr>
        <w:numPr>
          <w:ilvl w:val="0"/>
          <w:numId w:val="1"/>
        </w:numPr>
        <w:jc w:val="both"/>
        <w:rPr>
          <w:rFonts w:ascii="Poppins" w:hAnsi="Poppins" w:cs="Poppins"/>
          <w:sz w:val="18"/>
          <w:szCs w:val="18"/>
        </w:rPr>
      </w:pPr>
      <w:r>
        <w:rPr>
          <w:rFonts w:ascii="Poppins" w:hAnsi="Poppins" w:cs="Poppins"/>
          <w:sz w:val="18"/>
          <w:szCs w:val="18"/>
        </w:rPr>
        <w:t>Comunidades terapéuticas adecuadas a las necesidades de las mujeres: cuidado de hijos e hijas…</w:t>
      </w:r>
    </w:p>
    <w:p w14:paraId="3BA0D776" w14:textId="0D09A5FD" w:rsidR="00A15A2D" w:rsidRPr="00F52A18" w:rsidRDefault="00F52A18" w:rsidP="00442CFE">
      <w:pPr>
        <w:jc w:val="both"/>
        <w:rPr>
          <w:rFonts w:ascii="Poppins" w:hAnsi="Poppins" w:cs="Poppins"/>
          <w:sz w:val="18"/>
          <w:szCs w:val="18"/>
        </w:rPr>
      </w:pPr>
      <w:r w:rsidRPr="00F52A18">
        <w:rPr>
          <w:rFonts w:ascii="Poppins" w:hAnsi="Poppins" w:cs="Poppins"/>
          <w:sz w:val="18"/>
          <w:szCs w:val="18"/>
        </w:rPr>
        <w:t>Visibilizar estas desigualdades no es solo una cuestión de sensibilización: es una forma concreta de acompañar. Es asumir el compromiso de reducir barreras y garantizar que ninguna mujer quede fuera del tratamiento por razones estructurales.</w:t>
      </w:r>
      <w:r w:rsidR="00774AA0">
        <w:rPr>
          <w:rFonts w:ascii="Poppins" w:hAnsi="Poppins" w:cs="Poppins"/>
          <w:sz w:val="18"/>
          <w:szCs w:val="18"/>
        </w:rPr>
        <w:t xml:space="preserve"> </w:t>
      </w:r>
    </w:p>
    <w:p w14:paraId="5069EA8F" w14:textId="2EEE66BE" w:rsidR="00F52A18" w:rsidRPr="00F52A18" w:rsidRDefault="00F52A18" w:rsidP="00442CFE">
      <w:pPr>
        <w:jc w:val="both"/>
        <w:rPr>
          <w:rFonts w:ascii="Poppins" w:hAnsi="Poppins" w:cs="Poppins"/>
          <w:b/>
          <w:bCs/>
          <w:color w:val="007B87"/>
          <w:sz w:val="18"/>
          <w:szCs w:val="18"/>
        </w:rPr>
      </w:pPr>
      <w:r w:rsidRPr="00F52A18">
        <w:rPr>
          <w:rFonts w:ascii="Poppins" w:hAnsi="Poppins" w:cs="Poppins"/>
          <w:b/>
          <w:bCs/>
          <w:color w:val="007B87"/>
          <w:sz w:val="18"/>
          <w:szCs w:val="18"/>
        </w:rPr>
        <w:t xml:space="preserve">8 de marzo: </w:t>
      </w:r>
      <w:r w:rsidR="0034252A">
        <w:rPr>
          <w:rFonts w:ascii="Poppins" w:hAnsi="Poppins" w:cs="Poppins"/>
          <w:b/>
          <w:bCs/>
          <w:color w:val="007B87"/>
          <w:sz w:val="18"/>
          <w:szCs w:val="18"/>
        </w:rPr>
        <w:t>l</w:t>
      </w:r>
      <w:r w:rsidRPr="00F52A18">
        <w:rPr>
          <w:rFonts w:ascii="Poppins" w:hAnsi="Poppins" w:cs="Poppins"/>
          <w:b/>
          <w:bCs/>
          <w:color w:val="007B87"/>
          <w:sz w:val="18"/>
          <w:szCs w:val="18"/>
        </w:rPr>
        <w:t>as “malas” no existen</w:t>
      </w:r>
      <w:r w:rsidR="0034252A">
        <w:rPr>
          <w:rFonts w:ascii="Poppins" w:hAnsi="Poppins" w:cs="Poppins"/>
          <w:b/>
          <w:bCs/>
          <w:color w:val="007B87"/>
          <w:sz w:val="18"/>
          <w:szCs w:val="18"/>
        </w:rPr>
        <w:t>, e</w:t>
      </w:r>
      <w:r w:rsidRPr="00F52A18">
        <w:rPr>
          <w:rFonts w:ascii="Poppins" w:hAnsi="Poppins" w:cs="Poppins"/>
          <w:b/>
          <w:bCs/>
          <w:color w:val="007B87"/>
          <w:sz w:val="18"/>
          <w:szCs w:val="18"/>
        </w:rPr>
        <w:t>l estigma sí</w:t>
      </w:r>
    </w:p>
    <w:p w14:paraId="0A58599A" w14:textId="77777777" w:rsidR="00F52A18" w:rsidRPr="00F52A18" w:rsidRDefault="00F52A18" w:rsidP="00442CFE">
      <w:pPr>
        <w:jc w:val="both"/>
        <w:rPr>
          <w:rFonts w:ascii="Poppins" w:hAnsi="Poppins" w:cs="Poppins"/>
          <w:sz w:val="18"/>
          <w:szCs w:val="18"/>
        </w:rPr>
      </w:pPr>
      <w:r w:rsidRPr="00F52A18">
        <w:rPr>
          <w:rFonts w:ascii="Poppins" w:hAnsi="Poppins" w:cs="Poppins"/>
          <w:sz w:val="18"/>
          <w:szCs w:val="18"/>
        </w:rPr>
        <w:t>Con esta campaña, Proyecto Hombre quiere interpelar a la sociedad para desmontar prejuicios y estereotipos que siguen pesando sobre las mujeres con problemas de adicción.</w:t>
      </w:r>
    </w:p>
    <w:p w14:paraId="5EBFE1C2" w14:textId="77777777" w:rsidR="008B12F9" w:rsidRDefault="008B12F9" w:rsidP="00442CFE">
      <w:pPr>
        <w:rPr>
          <w:rFonts w:ascii="Poppins" w:hAnsi="Poppins" w:cs="Poppins"/>
          <w:sz w:val="18"/>
          <w:szCs w:val="18"/>
        </w:rPr>
      </w:pPr>
    </w:p>
    <w:p w14:paraId="0D2CAEBD" w14:textId="77777777" w:rsidR="0034252A" w:rsidRDefault="0034252A" w:rsidP="00442CFE">
      <w:pPr>
        <w:rPr>
          <w:rFonts w:ascii="Poppins" w:hAnsi="Poppins" w:cs="Poppins"/>
          <w:sz w:val="18"/>
          <w:szCs w:val="18"/>
        </w:rPr>
      </w:pPr>
    </w:p>
    <w:p w14:paraId="7A7220C3" w14:textId="0AE84F08" w:rsidR="00F52A18" w:rsidRPr="007213D7" w:rsidRDefault="00F52A18" w:rsidP="00442CFE">
      <w:pPr>
        <w:rPr>
          <w:rFonts w:ascii="Poppins" w:hAnsi="Poppins" w:cs="Poppins"/>
          <w:sz w:val="18"/>
          <w:szCs w:val="18"/>
        </w:rPr>
      </w:pPr>
      <w:r w:rsidRPr="00F52A18">
        <w:rPr>
          <w:rFonts w:ascii="Poppins" w:hAnsi="Poppins" w:cs="Poppins"/>
          <w:sz w:val="18"/>
          <w:szCs w:val="18"/>
        </w:rPr>
        <w:t>Porque detrás de cada dato hay una historia.</w:t>
      </w:r>
      <w:r w:rsidRPr="00F52A18">
        <w:rPr>
          <w:rFonts w:ascii="Poppins" w:hAnsi="Poppins" w:cs="Poppins"/>
          <w:sz w:val="18"/>
          <w:szCs w:val="18"/>
        </w:rPr>
        <w:br/>
        <w:t>Porque las etiquetas aíslan y el acompañamiento transforma.</w:t>
      </w:r>
      <w:r w:rsidRPr="00F52A18">
        <w:rPr>
          <w:rFonts w:ascii="Poppins" w:hAnsi="Poppins" w:cs="Poppins"/>
          <w:sz w:val="18"/>
          <w:szCs w:val="18"/>
        </w:rPr>
        <w:br/>
        <w:t>Y porque visibilizar también es acompañar.</w:t>
      </w:r>
    </w:p>
    <w:p w14:paraId="04F09755" w14:textId="0F123373" w:rsidR="00F52A18" w:rsidRPr="00F52A18" w:rsidRDefault="00F52A18" w:rsidP="008B12F9">
      <w:pPr>
        <w:rPr>
          <w:rFonts w:ascii="Poppins" w:hAnsi="Poppins" w:cs="Poppins"/>
          <w:sz w:val="20"/>
          <w:szCs w:val="20"/>
        </w:rPr>
      </w:pPr>
      <w:r w:rsidRPr="00F52A18">
        <w:rPr>
          <w:rFonts w:ascii="Poppins" w:hAnsi="Poppins" w:cs="Poppins"/>
          <w:b/>
          <w:bCs/>
          <w:sz w:val="18"/>
          <w:szCs w:val="18"/>
        </w:rPr>
        <w:t>Más información:</w:t>
      </w:r>
      <w:r w:rsidRPr="00F52A18">
        <w:rPr>
          <w:rFonts w:ascii="Poppins" w:hAnsi="Poppins" w:cs="Poppins"/>
          <w:b/>
          <w:bCs/>
          <w:sz w:val="18"/>
          <w:szCs w:val="18"/>
        </w:rPr>
        <w:br/>
      </w:r>
      <w:hyperlink r:id="rId8" w:tgtFrame="_blank" w:history="1">
        <w:r w:rsidR="008B12F9" w:rsidRPr="0034252A">
          <w:rPr>
            <w:rStyle w:val="Hipervnculo"/>
            <w:rFonts w:ascii="Poppins" w:hAnsi="Poppins" w:cs="Poppins"/>
            <w:b/>
            <w:bCs/>
            <w:sz w:val="18"/>
            <w:szCs w:val="18"/>
          </w:rPr>
          <w:t>https://proyectohombre.es/actualidad/dia-internacional-de-la-mujer-las-malas-no-existen-el-estigma-si/</w:t>
        </w:r>
      </w:hyperlink>
      <w:r w:rsidR="00AE0B33">
        <w:rPr>
          <w:rFonts w:ascii="Poppins" w:hAnsi="Poppins" w:cs="Poppins"/>
          <w:sz w:val="20"/>
          <w:szCs w:val="20"/>
        </w:rPr>
        <w:pict w14:anchorId="55AD38A9">
          <v:rect id="_x0000_i1025" style="width:0;height:1.5pt" o:hralign="center" o:hrstd="t" o:hr="t" fillcolor="#a0a0a0" stroked="f"/>
        </w:pict>
      </w:r>
    </w:p>
    <w:p w14:paraId="437F1589" w14:textId="77777777" w:rsidR="008B3F37" w:rsidRPr="00A15A2D" w:rsidRDefault="008B3F37" w:rsidP="00442CFE">
      <w:pPr>
        <w:jc w:val="both"/>
        <w:rPr>
          <w:rFonts w:ascii="Poppins" w:hAnsi="Poppins" w:cs="Poppins"/>
          <w:b/>
          <w:bCs/>
          <w:sz w:val="14"/>
          <w:szCs w:val="14"/>
        </w:rPr>
      </w:pPr>
      <w:bookmarkStart w:id="1" w:name="_Hlk200553107"/>
      <w:r w:rsidRPr="00A15A2D">
        <w:rPr>
          <w:rFonts w:ascii="Poppins" w:hAnsi="Poppins" w:cs="Poppins"/>
          <w:b/>
          <w:bCs/>
          <w:sz w:val="14"/>
          <w:szCs w:val="14"/>
        </w:rPr>
        <w:t>Sobre Proyecto Hombre:</w:t>
      </w:r>
    </w:p>
    <w:p w14:paraId="76C3F2CC" w14:textId="4C9ADDE6" w:rsidR="001B1411" w:rsidRPr="00A15A2D" w:rsidRDefault="001B1411" w:rsidP="001B1411">
      <w:pPr>
        <w:jc w:val="both"/>
        <w:rPr>
          <w:rFonts w:ascii="Poppins" w:hAnsi="Poppins" w:cs="Poppins"/>
          <w:sz w:val="14"/>
          <w:szCs w:val="14"/>
        </w:rPr>
      </w:pPr>
      <w:r w:rsidRPr="00A15A2D">
        <w:rPr>
          <w:rFonts w:ascii="Poppins" w:hAnsi="Poppins" w:cs="Poppins"/>
          <w:sz w:val="14"/>
          <w:szCs w:val="14"/>
        </w:rPr>
        <w:t>Proyecto Hombre nació en 1984 para ofrecer atención en prevención, tratamiento y reinserción sociolaboral a personas con problemas de adicción. En 2024, Proyecto Hombre ha acompañado a 20.591 personas en sus procesos de atención, tratamiento y reinserción, con el objetivo de favorecer su recuperación y autonomía personal. Asimismo, desarrolla programas de prevención y sensibilización que alcanzan a más de</w:t>
      </w:r>
      <w:r w:rsidR="00A15A2D" w:rsidRPr="00A15A2D">
        <w:rPr>
          <w:rFonts w:ascii="Poppins" w:hAnsi="Poppins" w:cs="Poppins"/>
          <w:sz w:val="14"/>
          <w:szCs w:val="14"/>
        </w:rPr>
        <w:t xml:space="preserve"> 100.000</w:t>
      </w:r>
      <w:r w:rsidRPr="00A15A2D">
        <w:rPr>
          <w:rFonts w:ascii="Poppins" w:hAnsi="Poppins" w:cs="Poppins"/>
          <w:sz w:val="14"/>
          <w:szCs w:val="14"/>
        </w:rPr>
        <w:t xml:space="preserve"> personas cada año. Su intervención se basa en un modelo biopsicosocial centrado en la persona, que promueve un abordaje integral de las adicciones</w:t>
      </w:r>
      <w:r w:rsidR="00A15A2D" w:rsidRPr="00A15A2D">
        <w:rPr>
          <w:rFonts w:ascii="Poppins" w:hAnsi="Poppins" w:cs="Poppins"/>
          <w:sz w:val="14"/>
          <w:szCs w:val="14"/>
        </w:rPr>
        <w:t>, y los comportamientos potencialmente adictivos.</w:t>
      </w:r>
    </w:p>
    <w:p w14:paraId="4A4CCF70" w14:textId="0244C0EC" w:rsidR="002C04DB" w:rsidRPr="00A15A2D" w:rsidRDefault="00442CFE" w:rsidP="00A15A2D">
      <w:pPr>
        <w:jc w:val="both"/>
        <w:rPr>
          <w:sz w:val="14"/>
          <w:szCs w:val="14"/>
        </w:rPr>
      </w:pPr>
      <w:r w:rsidRPr="00A15A2D">
        <w:rPr>
          <w:rFonts w:ascii="Poppins" w:hAnsi="Poppins" w:cs="Poppins"/>
          <w:b/>
          <w:bCs/>
          <w:sz w:val="14"/>
          <w:szCs w:val="14"/>
        </w:rPr>
        <w:t xml:space="preserve">Comunicación con la Asociación Proyecto Hombre:  </w:t>
      </w:r>
      <w:bookmarkEnd w:id="1"/>
      <w:r w:rsidRPr="00A15A2D">
        <w:rPr>
          <w:rFonts w:ascii="Poppins" w:hAnsi="Poppins" w:cs="Poppins"/>
          <w:sz w:val="14"/>
          <w:szCs w:val="14"/>
        </w:rPr>
        <w:t xml:space="preserve">Paola Lami </w:t>
      </w:r>
      <w:hyperlink r:id="rId9" w:history="1">
        <w:r w:rsidRPr="00A15A2D">
          <w:rPr>
            <w:rFonts w:ascii="Poppins" w:hAnsi="Poppins" w:cs="Poppins"/>
            <w:sz w:val="14"/>
            <w:szCs w:val="14"/>
          </w:rPr>
          <w:t>plami@proyectohombre.es</w:t>
        </w:r>
      </w:hyperlink>
      <w:r w:rsidRPr="00A15A2D">
        <w:rPr>
          <w:rFonts w:ascii="Poppins" w:hAnsi="Poppins" w:cs="Poppins"/>
          <w:sz w:val="14"/>
          <w:szCs w:val="14"/>
        </w:rPr>
        <w:t xml:space="preserve">  | 6</w:t>
      </w:r>
      <w:r w:rsidR="001B1411" w:rsidRPr="00A15A2D">
        <w:rPr>
          <w:rFonts w:ascii="Poppins" w:hAnsi="Poppins" w:cs="Poppins"/>
          <w:sz w:val="14"/>
          <w:szCs w:val="14"/>
        </w:rPr>
        <w:t>63857000</w:t>
      </w:r>
    </w:p>
    <w:sectPr w:rsidR="002C04DB" w:rsidRPr="00A15A2D">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C033A" w14:textId="77777777" w:rsidR="00AE0B33" w:rsidRDefault="00AE0B33" w:rsidP="008B12F9">
      <w:pPr>
        <w:spacing w:after="0" w:line="240" w:lineRule="auto"/>
      </w:pPr>
      <w:r>
        <w:separator/>
      </w:r>
    </w:p>
  </w:endnote>
  <w:endnote w:type="continuationSeparator" w:id="0">
    <w:p w14:paraId="1A4CA305" w14:textId="77777777" w:rsidR="00AE0B33" w:rsidRDefault="00AE0B33" w:rsidP="008B1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altName w:val="Poppins"/>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4FB48" w14:textId="77777777" w:rsidR="00AE0B33" w:rsidRDefault="00AE0B33" w:rsidP="008B12F9">
      <w:pPr>
        <w:spacing w:after="0" w:line="240" w:lineRule="auto"/>
      </w:pPr>
      <w:r>
        <w:separator/>
      </w:r>
    </w:p>
  </w:footnote>
  <w:footnote w:type="continuationSeparator" w:id="0">
    <w:p w14:paraId="61921D7C" w14:textId="77777777" w:rsidR="00AE0B33" w:rsidRDefault="00AE0B33" w:rsidP="008B12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9FEE" w14:textId="2A2AB29E" w:rsidR="008B12F9" w:rsidRDefault="008B12F9">
    <w:pPr>
      <w:pStyle w:val="Encabezado"/>
    </w:pPr>
    <w:r>
      <w:rPr>
        <w:noProof/>
      </w:rPr>
      <w:drawing>
        <wp:inline distT="0" distB="0" distL="0" distR="0" wp14:anchorId="43132F5D" wp14:editId="4E7947A6">
          <wp:extent cx="526589" cy="667835"/>
          <wp:effectExtent l="0" t="0" r="6985" b="0"/>
          <wp:docPr id="1308119878" name="Imagen 2"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19878" name="Imagen 2"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538093" cy="6824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5112"/>
    <w:multiLevelType w:val="multilevel"/>
    <w:tmpl w:val="AEF4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D02557"/>
    <w:multiLevelType w:val="hybridMultilevel"/>
    <w:tmpl w:val="82FEC6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7022C34"/>
    <w:multiLevelType w:val="multilevel"/>
    <w:tmpl w:val="E1EC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3365850">
    <w:abstractNumId w:val="2"/>
  </w:num>
  <w:num w:numId="2" w16cid:durableId="1649170769">
    <w:abstractNumId w:val="0"/>
  </w:num>
  <w:num w:numId="3" w16cid:durableId="2002584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A18"/>
    <w:rsid w:val="001B1411"/>
    <w:rsid w:val="00256089"/>
    <w:rsid w:val="002C04DB"/>
    <w:rsid w:val="0034252A"/>
    <w:rsid w:val="00403CA2"/>
    <w:rsid w:val="00442CFE"/>
    <w:rsid w:val="00575269"/>
    <w:rsid w:val="006E00C2"/>
    <w:rsid w:val="006F76E2"/>
    <w:rsid w:val="007109C4"/>
    <w:rsid w:val="007213D7"/>
    <w:rsid w:val="00774AA0"/>
    <w:rsid w:val="00846B14"/>
    <w:rsid w:val="008B12F9"/>
    <w:rsid w:val="008B3F37"/>
    <w:rsid w:val="00931DD1"/>
    <w:rsid w:val="00A15A2D"/>
    <w:rsid w:val="00AE0B33"/>
    <w:rsid w:val="00C23D9C"/>
    <w:rsid w:val="00D03FCF"/>
    <w:rsid w:val="00F14540"/>
    <w:rsid w:val="00F52A18"/>
    <w:rsid w:val="00F92B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29212"/>
  <w15:chartTrackingRefBased/>
  <w15:docId w15:val="{0844F91D-7049-4288-9869-918DBB9B4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52A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52A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52A1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52A1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52A1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52A1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52A1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52A1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52A1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52A1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52A1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52A1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52A1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52A1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52A1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52A1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52A1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52A18"/>
    <w:rPr>
      <w:rFonts w:eastAsiaTheme="majorEastAsia" w:cstheme="majorBidi"/>
      <w:color w:val="272727" w:themeColor="text1" w:themeTint="D8"/>
    </w:rPr>
  </w:style>
  <w:style w:type="paragraph" w:styleId="Ttulo">
    <w:name w:val="Title"/>
    <w:basedOn w:val="Normal"/>
    <w:next w:val="Normal"/>
    <w:link w:val="TtuloCar"/>
    <w:uiPriority w:val="10"/>
    <w:qFormat/>
    <w:rsid w:val="00F52A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52A1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52A1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52A1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52A18"/>
    <w:pPr>
      <w:spacing w:before="160"/>
      <w:jc w:val="center"/>
    </w:pPr>
    <w:rPr>
      <w:i/>
      <w:iCs/>
      <w:color w:val="404040" w:themeColor="text1" w:themeTint="BF"/>
    </w:rPr>
  </w:style>
  <w:style w:type="character" w:customStyle="1" w:styleId="CitaCar">
    <w:name w:val="Cita Car"/>
    <w:basedOn w:val="Fuentedeprrafopredeter"/>
    <w:link w:val="Cita"/>
    <w:uiPriority w:val="29"/>
    <w:rsid w:val="00F52A18"/>
    <w:rPr>
      <w:i/>
      <w:iCs/>
      <w:color w:val="404040" w:themeColor="text1" w:themeTint="BF"/>
    </w:rPr>
  </w:style>
  <w:style w:type="paragraph" w:styleId="Prrafodelista">
    <w:name w:val="List Paragraph"/>
    <w:basedOn w:val="Normal"/>
    <w:uiPriority w:val="34"/>
    <w:qFormat/>
    <w:rsid w:val="00F52A18"/>
    <w:pPr>
      <w:ind w:left="720"/>
      <w:contextualSpacing/>
    </w:pPr>
  </w:style>
  <w:style w:type="character" w:styleId="nfasisintenso">
    <w:name w:val="Intense Emphasis"/>
    <w:basedOn w:val="Fuentedeprrafopredeter"/>
    <w:uiPriority w:val="21"/>
    <w:qFormat/>
    <w:rsid w:val="00F52A18"/>
    <w:rPr>
      <w:i/>
      <w:iCs/>
      <w:color w:val="0F4761" w:themeColor="accent1" w:themeShade="BF"/>
    </w:rPr>
  </w:style>
  <w:style w:type="paragraph" w:styleId="Citadestacada">
    <w:name w:val="Intense Quote"/>
    <w:basedOn w:val="Normal"/>
    <w:next w:val="Normal"/>
    <w:link w:val="CitadestacadaCar"/>
    <w:uiPriority w:val="30"/>
    <w:qFormat/>
    <w:rsid w:val="00F52A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52A18"/>
    <w:rPr>
      <w:i/>
      <w:iCs/>
      <w:color w:val="0F4761" w:themeColor="accent1" w:themeShade="BF"/>
    </w:rPr>
  </w:style>
  <w:style w:type="character" w:styleId="Referenciaintensa">
    <w:name w:val="Intense Reference"/>
    <w:basedOn w:val="Fuentedeprrafopredeter"/>
    <w:uiPriority w:val="32"/>
    <w:qFormat/>
    <w:rsid w:val="00F52A18"/>
    <w:rPr>
      <w:b/>
      <w:bCs/>
      <w:smallCaps/>
      <w:color w:val="0F4761" w:themeColor="accent1" w:themeShade="BF"/>
      <w:spacing w:val="5"/>
    </w:rPr>
  </w:style>
  <w:style w:type="character" w:styleId="Hipervnculo">
    <w:name w:val="Hyperlink"/>
    <w:basedOn w:val="Fuentedeprrafopredeter"/>
    <w:uiPriority w:val="99"/>
    <w:unhideWhenUsed/>
    <w:rsid w:val="00F52A18"/>
    <w:rPr>
      <w:color w:val="467886" w:themeColor="hyperlink"/>
      <w:u w:val="single"/>
    </w:rPr>
  </w:style>
  <w:style w:type="character" w:styleId="Mencinsinresolver">
    <w:name w:val="Unresolved Mention"/>
    <w:basedOn w:val="Fuentedeprrafopredeter"/>
    <w:uiPriority w:val="99"/>
    <w:semiHidden/>
    <w:unhideWhenUsed/>
    <w:rsid w:val="00F52A18"/>
    <w:rPr>
      <w:color w:val="605E5C"/>
      <w:shd w:val="clear" w:color="auto" w:fill="E1DFDD"/>
    </w:rPr>
  </w:style>
  <w:style w:type="paragraph" w:styleId="Encabezado">
    <w:name w:val="header"/>
    <w:basedOn w:val="Normal"/>
    <w:link w:val="EncabezadoCar"/>
    <w:uiPriority w:val="99"/>
    <w:unhideWhenUsed/>
    <w:rsid w:val="008B12F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B12F9"/>
  </w:style>
  <w:style w:type="paragraph" w:styleId="Piedepgina">
    <w:name w:val="footer"/>
    <w:basedOn w:val="Normal"/>
    <w:link w:val="PiedepginaCar"/>
    <w:uiPriority w:val="99"/>
    <w:unhideWhenUsed/>
    <w:rsid w:val="008B12F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B1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yectohombre.es/?post_type=actualidad&amp;p=24457"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lami@proyectohombre.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702</Words>
  <Characters>3861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Comunicación PH</dc:creator>
  <cp:keywords/>
  <dc:description/>
  <cp:lastModifiedBy>Comunicación PH</cp:lastModifiedBy>
  <cp:revision>6</cp:revision>
  <dcterms:created xsi:type="dcterms:W3CDTF">2026-02-19T07:20:00Z</dcterms:created>
  <dcterms:modified xsi:type="dcterms:W3CDTF">2026-03-02T07:54:00Z</dcterms:modified>
</cp:coreProperties>
</file>